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80" w:line="276" w:lineRule="auto"/>
      </w:pPr>
      <w:r>
        <w:rPr>
          <w:rFonts w:ascii="Aptos" w:hAnsi="Aptos"/>
          <w:sz w:val="22"/>
        </w:rPr>
        <w:t>[DRAFT GENERATION FAILED — Raw notes below]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Overview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Questa Wealth governance agreed to sit outside ASL — treated as a third-party service provider under UAP, not folded into ASL board or ARCC packs, with a service level agreement and HR review of staff contracts needed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deVere / Mauritius DFM relationship recommended for ratification — existing ~400 PSG-inherited offshore schemes put in a better position via a single DFM relationship than by doing nothing or forcing exits; new business appetite still unresolved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Alex to circulate a one-page board paper on separating onshore and offshore into distinct operating models by </w:t>
      </w:r>
      <w:r>
        <w:rPr>
          <w:rFonts w:ascii="Aptos" w:hAnsi="Aptos"/>
          <w:i/>
          <w:sz w:val="22"/>
        </w:rPr>
        <w:t>Friday, July 3rd</w:t>
      </w:r>
      <w:r>
        <w:rPr>
          <w:rFonts w:ascii="Aptos" w:hAnsi="Aptos"/>
          <w:sz w:val="22"/>
        </w:rPr>
        <w:t>* or early the following week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CASS audit is </w:t>
      </w:r>
      <w:r>
        <w:rPr>
          <w:rFonts w:ascii="Aptos" w:hAnsi="Aptos"/>
          <w:i/>
          <w:sz w:val="22"/>
        </w:rPr>
        <w:t>97%</w:t>
      </w:r>
      <w:r>
        <w:rPr>
          <w:rFonts w:ascii="Aptos" w:hAnsi="Aptos"/>
          <w:sz w:val="22"/>
        </w:rPr>
        <w:t>* complete on fieldwork; management letter expected within a couple of weeks — breach 7 (internal reconciliation) remains open and needs automation to close properly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Risk Management Framework kicked off as a formal workstream — Colin to help form a working group, significant progress expected by the next quarterly meeting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Annual accounts audit on track for a clean report in time for the board meeting next week (</w:t>
      </w:r>
      <w:r>
        <w:rPr>
          <w:rFonts w:ascii="Aptos" w:hAnsi="Aptos"/>
          <w:i/>
          <w:sz w:val="22"/>
        </w:rPr>
        <w:t>July 9th</w:t>
      </w:r>
      <w:r>
        <w:rPr>
          <w:rFonts w:ascii="Aptos" w:hAnsi="Aptos"/>
          <w:sz w:val="22"/>
        </w:rPr>
        <w:t>*)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Cyber Essentials Plus lost after the cyber incident — currently at Essentials only, with Focus on a </w:t>
      </w:r>
      <w:r>
        <w:rPr>
          <w:rFonts w:ascii="Aptos" w:hAnsi="Aptos"/>
          <w:i/>
          <w:sz w:val="22"/>
        </w:rPr>
        <w:t>6-week</w:t>
      </w:r>
      <w:r>
        <w:rPr>
          <w:rFonts w:ascii="Aptos" w:hAnsi="Aptos"/>
          <w:sz w:val="22"/>
        </w:rPr>
        <w:t>* timeline to restore Plus status; insurance is in place and aware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FCA voluntary written progress update due </w:t>
      </w:r>
      <w:r>
        <w:rPr>
          <w:rFonts w:ascii="Aptos" w:hAnsi="Aptos"/>
          <w:i/>
          <w:sz w:val="22"/>
        </w:rPr>
        <w:t>August 2026</w:t>
      </w:r>
      <w:r>
        <w:rPr>
          <w:rFonts w:ascii="Aptos" w:hAnsi="Aptos"/>
          <w:i/>
          <w:sz w:val="22"/>
        </w:rPr>
        <w:t xml:space="preserve">; evidence pack prep for potential </w:t>
      </w:r>
      <w:r>
        <w:rPr>
          <w:rFonts w:ascii="Aptos" w:hAnsi="Aptos"/>
          <w:i/>
          <w:sz w:val="22"/>
        </w:rPr>
        <w:t>October 2026</w:t>
      </w:r>
      <w:r>
        <w:rPr>
          <w:rFonts w:ascii="Aptos" w:hAnsi="Aptos"/>
          <w:i/>
          <w:sz w:val="22"/>
        </w:rPr>
        <w:t xml:space="preserve"> revisit starts </w:t>
      </w:r>
      <w:r>
        <w:rPr>
          <w:rFonts w:ascii="Aptos" w:hAnsi="Aptos"/>
          <w:i/>
          <w:sz w:val="22"/>
        </w:rPr>
        <w:t>November 2026</w:t>
      </w:r>
      <w:r>
        <w:rPr>
          <w:rFonts w:ascii="Aptos" w:hAnsi="Aptos"/>
          <w:sz w:val="22"/>
        </w:rPr>
        <w:t>*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Safeguarded benefits transfer case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transfer in question is under £30k, which exempts it from the advice requirement under pension rules, but Alltrust never saw the advice report at the point of transfer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An Onvesta report was done — Onvesta is predominantly associated with deVere offshore work, and Victoria notes over </w:t>
      </w:r>
      <w:r>
        <w:rPr>
          <w:rFonts w:ascii="Aptos" w:hAnsi="Aptos"/>
          <w:i/>
          <w:sz w:val="22"/>
        </w:rPr>
        <w:t>95%</w:t>
      </w:r>
      <w:r>
        <w:rPr>
          <w:rFonts w:ascii="Aptos" w:hAnsi="Aptos"/>
          <w:sz w:val="22"/>
        </w:rPr>
        <w:t>* of their reports came out as "do not transfer," with clients then becoming insistent and signing away benefits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risk of future liability for the DB-to-DC transfer sits with PSG pre-acquisition, not Alltrust — but accepting a further contribution from the seeding scheme could pull Alltrust into responsibility for the whole position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Alex and Victoria agreed the stronger position is to decline, and Alex suggested taking it to "Lizzie" for a legal view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Outstanding March actions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US sanctions legal advice is in draft — Liz and Alex have reviewed it; the US nexus question is resolved (Alltrust has none), and the focus is now on the Metro Bank meeting to unfreeze the account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Brite cash position is closed — all Brite money distributed except two clients being traced; FCA was advised of this position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Questa completion is done — Questa is now owned by UAP; Form As for James and Alex as SMFs are in progress, and a meeting with the former Questa group is set for </w:t>
      </w:r>
      <w:r>
        <w:rPr>
          <w:rFonts w:ascii="Aptos" w:hAnsi="Aptos"/>
          <w:i/>
          <w:sz w:val="22"/>
        </w:rPr>
        <w:t>Monday, July 6th</w:t>
      </w:r>
      <w:r>
        <w:rPr>
          <w:rFonts w:ascii="Aptos" w:hAnsi="Aptos"/>
          <w:sz w:val="22"/>
        </w:rPr>
        <w:t>*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DWF workshop on the advice proposition regulatory landscape is scheduled for next week — open to attendees except Debbie (on holiday); Alex will share the presentation afterwards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Targeted support consultation was submitted and a follow-up pre-application support meeting was held — the FCA felt Alltrust wasn't going far enough over the advice line, so the question is now whether a variation of permissions at ASL level or the new advice business makes the targeted support route unnecessary; action closed but issue remains live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Product launch playbook left open — covered later in the pack under product governance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FCA notification on Metalogic / cyber was not made beyond the initial notification; no follow-up from the FCA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ICO cyber incident report: initial notification submitted, no follow-up received from the ICO; Colin and Alex agreed to collate reports from the specialist firm and Focus into a committee paper with an action plan and ongoing status updates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Whistleblowing champion appointment not progressed — left open on Alex's list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CMAR submissions are current and being independently verified by the CASS auditor; errors on the first submission have been corrected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EBOL Trustees acquisition DD is more comprehensive than previous attempts but an acquisition playbook hasn't been developed — left open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Fallon / Gleeson sanctions and Metro Bank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Alltrust has received legal counsel confirming no US nexus — neither Alltrust nor, on their view, Metro Bank has one, so OFAC sanctions don't apply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A SAR was submitted and the NCA was notified; the NCA did not grant a DAML to close the account, and when Alltrust applied for a DAML to transact and maintain assets, the NCA effectively deferred back to the sanctions question without a yes or no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Linda Gleeson (co-owner of the SIPP asset, not on the sanctions list) has been diagnosed with cancer and is asking for her benefits — Alex flagged this as a difficult situation given the frozen account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HSBC released funds to Fallon's accounts without a US nexus issue, which Alex noted as relevant context for the Metro Bank approach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A meeting with Metro Bank's sanctions team has been requested — getting the legal opinion to them is the critical path to unfreezing the account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Fallon has an outstanding complaint about fees taken from the account; these are believed refunded but being verified with ops, and a final response letter is being prepared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Cyber incident wrap-up and Cyber Essentials Plus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Cyber Essentials Plus was lost following the incident — Alltrust currently holds Essentials only, with Focus on a predicted </w:t>
      </w:r>
      <w:r>
        <w:rPr>
          <w:rFonts w:ascii="Aptos" w:hAnsi="Aptos"/>
          <w:i/>
          <w:sz w:val="22"/>
        </w:rPr>
        <w:t>6-week</w:t>
      </w:r>
      <w:r>
        <w:rPr>
          <w:rFonts w:ascii="Aptos" w:hAnsi="Aptos"/>
          <w:sz w:val="22"/>
        </w:rPr>
        <w:t>* timeline from this week to restore Plus status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Cyber insurance has been renewed and the insurer is aware of the current Essentials-only position; Alex flagged that the previous policy had Cyber Essentials Plus as a condition and asked whether the renewed policy does too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Alex asked that the cyber insurance contract be sent to the committee to be held on file as approved outside a meeting, and added to a review cycle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Four months of dark web monitoring have shown no data loss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committee agreed to reframe the ICO action as a committee paper covering lessons learned, an action plan, and status updates until the plan is complete — rather than a standalone ICO report submission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CASS reconciliation and breach 7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The CASS audit is </w:t>
      </w:r>
      <w:r>
        <w:rPr>
          <w:rFonts w:ascii="Aptos" w:hAnsi="Aptos"/>
          <w:i/>
          <w:sz w:val="22"/>
        </w:rPr>
        <w:t>97%</w:t>
      </w:r>
      <w:r>
        <w:rPr>
          <w:rFonts w:ascii="Aptos" w:hAnsi="Aptos"/>
          <w:sz w:val="22"/>
        </w:rPr>
        <w:t>* complete on fieldwork and planning; the auditor is expected to issue a management letter within a couple of weeks, which will go to this committee and the board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Breach 7 (daily internal client-money reconciliation) remains open — the auditor accepts that two independent processes exist but requires that their totals be compared to each other before going to the external bank reconciliation, which isn't currently happening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current process relies on copying and pasting from Emargo and Metropolis rather than automated data extraction and comparison — Alex is clear this needs to be automated, not manual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New breaches around cash checks will also appear in the audit report; Caroline has already flagged these internally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FCA is aware of breach 7 from previous conversations and has made no follow-up; Alex expects to notify them again when the audit completes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Victoria flagged a couple of recent developments that may affect the reconciliation approach — Alex to follow up with her after his call with Caroline on </w:t>
      </w:r>
      <w:r>
        <w:rPr>
          <w:rFonts w:ascii="Aptos" w:hAnsi="Aptos"/>
          <w:i/>
          <w:sz w:val="22"/>
        </w:rPr>
        <w:t>July 2nd</w:t>
      </w:r>
      <w:r>
        <w:rPr>
          <w:rFonts w:ascii="Aptos" w:hAnsi="Aptos"/>
          <w:sz w:val="22"/>
        </w:rPr>
        <w:t>*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Risk Management Framework kick-off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committee agreed to kick off the Risk Management Framework review as a formal workstream — Colin to help identify the right people for a working group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current draft (v1.0) uses two lines of defence with no internal audit function; the committee agreed internal audit isn't warranted at this stage and should be reviewed annually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Geoff wants to understand the thresholds that would make internal audit compulsory; Alex noted there's no hard regulatory number — it's based on complexity and management distance from operations, and both Geoff and Colin agreed management is still close enough to the business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workstream goal is a risk taxonomy, appetite statements with tolerances, and a KRI dashboard that the business owns in the first line — with significant progress expected before the next quarterly meeting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risk register will be produced by this committee and recommended to the board for approval, not handed down to the business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CRCC inaugural report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The CRCC held its inaugural meeting on </w:t>
      </w:r>
      <w:r>
        <w:rPr>
          <w:rFonts w:ascii="Aptos" w:hAnsi="Aptos"/>
          <w:i/>
          <w:sz w:val="22"/>
        </w:rPr>
        <w:t>4 June 2026</w:t>
      </w:r>
      <w:r>
        <w:rPr>
          <w:rFonts w:ascii="Aptos" w:hAnsi="Aptos"/>
          <w:sz w:val="22"/>
        </w:rPr>
        <w:t>* — Debbie set homework for members to map existing MI and identify what good MI would look like for the committee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lines between first and second line are currently blurred — a separate session will be held to define them collectively rather than Debbie dictating the split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Vulnerable customer champions are down to </w:t>
      </w:r>
      <w:r>
        <w:rPr>
          <w:rFonts w:ascii="Aptos" w:hAnsi="Aptos"/>
          <w:i/>
          <w:sz w:val="22"/>
        </w:rPr>
        <w:t>3</w:t>
      </w:r>
      <w:r>
        <w:rPr>
          <w:rFonts w:ascii="Aptos" w:hAnsi="Aptos"/>
          <w:sz w:val="22"/>
        </w:rPr>
        <w:t>* following leavers — the consensus is the model works but needs more volunteers, refresher training, and a reformatted monthly forum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CRCC's initial focus is service delays and communication, pending MI being in place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FCA implementation plan and comms SLAs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The FCA tracker was rebased: </w:t>
      </w:r>
      <w:r>
        <w:rPr>
          <w:rFonts w:ascii="Aptos" w:hAnsi="Aptos"/>
          <w:i/>
          <w:sz w:val="22"/>
        </w:rPr>
        <w:t>10</w:t>
      </w:r>
      <w:r>
        <w:rPr>
          <w:rFonts w:ascii="Aptos" w:hAnsi="Aptos"/>
          <w:i/>
          <w:sz w:val="22"/>
        </w:rPr>
        <w:t xml:space="preserve"> actions complete, </w:t>
      </w:r>
      <w:r>
        <w:rPr>
          <w:rFonts w:ascii="Aptos" w:hAnsi="Aptos"/>
          <w:i/>
          <w:sz w:val="22"/>
        </w:rPr>
        <w:t>7</w:t>
      </w:r>
      <w:r>
        <w:rPr>
          <w:rFonts w:ascii="Aptos" w:hAnsi="Aptos"/>
          <w:i/>
          <w:sz w:val="22"/>
        </w:rPr>
        <w:t xml:space="preserve"> in progress, </w:t>
      </w:r>
      <w:r>
        <w:rPr>
          <w:rFonts w:ascii="Aptos" w:hAnsi="Aptos"/>
          <w:i/>
          <w:sz w:val="22"/>
        </w:rPr>
        <w:t>0</w:t>
      </w:r>
      <w:r>
        <w:rPr>
          <w:rFonts w:ascii="Aptos" w:hAnsi="Aptos"/>
          <w:i/>
          <w:sz w:val="22"/>
        </w:rPr>
        <w:t xml:space="preserve"> not started as at July 2026 — the previous read of RED was caused by a month-by-month tab last updated </w:t>
      </w:r>
      <w:r>
        <w:rPr>
          <w:rFonts w:ascii="Aptos" w:hAnsi="Aptos"/>
          <w:i/>
          <w:sz w:val="22"/>
        </w:rPr>
        <w:t>27 February 2026</w:t>
      </w:r>
      <w:r>
        <w:rPr>
          <w:rFonts w:ascii="Aptos" w:hAnsi="Aptos"/>
          <w:sz w:val="22"/>
        </w:rPr>
        <w:t>* that hadn't been refreshed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Key upcoming dates: voluntary </w:t>
      </w:r>
      <w:r>
        <w:rPr>
          <w:rFonts w:ascii="Aptos" w:hAnsi="Aptos"/>
          <w:i/>
          <w:sz w:val="22"/>
        </w:rPr>
        <w:t>6-month</w:t>
      </w:r>
      <w:r>
        <w:rPr>
          <w:rFonts w:ascii="Aptos" w:hAnsi="Aptos"/>
          <w:i/>
          <w:sz w:val="22"/>
        </w:rPr>
        <w:t xml:space="preserve"> written progress update to the FCA in </w:t>
      </w:r>
      <w:r>
        <w:rPr>
          <w:rFonts w:ascii="Aptos" w:hAnsi="Aptos"/>
          <w:i/>
          <w:sz w:val="22"/>
        </w:rPr>
        <w:t>August 2026</w:t>
      </w:r>
      <w:r>
        <w:rPr>
          <w:rFonts w:ascii="Aptos" w:hAnsi="Aptos"/>
          <w:i/>
          <w:sz w:val="22"/>
        </w:rPr>
        <w:t xml:space="preserve">; evidence pack prep for a potential </w:t>
      </w:r>
      <w:r>
        <w:rPr>
          <w:rFonts w:ascii="Aptos" w:hAnsi="Aptos"/>
          <w:i/>
          <w:sz w:val="22"/>
        </w:rPr>
        <w:t>12-month</w:t>
      </w:r>
      <w:r>
        <w:rPr>
          <w:rFonts w:ascii="Aptos" w:hAnsi="Aptos"/>
          <w:i/>
          <w:sz w:val="22"/>
        </w:rPr>
        <w:t xml:space="preserve"> FCA revisit starts </w:t>
      </w:r>
      <w:r>
        <w:rPr>
          <w:rFonts w:ascii="Aptos" w:hAnsi="Aptos"/>
          <w:i/>
          <w:sz w:val="22"/>
        </w:rPr>
        <w:t>November 2026</w:t>
      </w:r>
      <w:r>
        <w:rPr>
          <w:rFonts w:ascii="Aptos" w:hAnsi="Aptos"/>
          <w:i/>
          <w:sz w:val="22"/>
        </w:rPr>
        <w:t xml:space="preserve"> (treating </w:t>
      </w:r>
      <w:r>
        <w:rPr>
          <w:rFonts w:ascii="Aptos" w:hAnsi="Aptos"/>
          <w:i/>
          <w:sz w:val="22"/>
        </w:rPr>
        <w:t>October 2026</w:t>
      </w:r>
      <w:r>
        <w:rPr>
          <w:rFonts w:ascii="Aptos" w:hAnsi="Aptos"/>
          <w:sz w:val="22"/>
        </w:rPr>
        <w:t>* as the earliest possible revisit)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AI phone system (ref 3.b): new phone system is live and providing transcripts and MI for the first time in </w:t>
      </w:r>
      <w:r>
        <w:rPr>
          <w:rFonts w:ascii="Aptos" w:hAnsi="Aptos"/>
          <w:i/>
          <w:sz w:val="22"/>
        </w:rPr>
        <w:t>7 months</w:t>
      </w:r>
      <w:r>
        <w:rPr>
          <w:rFonts w:ascii="Aptos" w:hAnsi="Aptos"/>
          <w:i/>
          <w:sz w:val="22"/>
        </w:rPr>
        <w:t xml:space="preserve">; AI features phase just kicked off, with a first workshop proposed for </w:t>
      </w:r>
      <w:r>
        <w:rPr>
          <w:rFonts w:ascii="Aptos" w:hAnsi="Aptos"/>
          <w:i/>
          <w:sz w:val="22"/>
        </w:rPr>
        <w:t>Thursday, July 9th</w:t>
      </w:r>
      <w:r>
        <w:rPr>
          <w:rFonts w:ascii="Aptos" w:hAnsi="Aptos"/>
          <w:sz w:val="22"/>
        </w:rPr>
        <w:t>* (board meeting day — dates may need to move)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Backdated charges (ref 4.b) is not about backdating — Alex confirmed it refers to recoverable fees not yet taken, mainly from PSG and Brite; Geoff clarified Brite clients were billed at existing fee card rates from </w:t>
      </w:r>
      <w:r>
        <w:rPr>
          <w:rFonts w:ascii="Aptos" w:hAnsi="Aptos"/>
          <w:i/>
          <w:sz w:val="22"/>
        </w:rPr>
        <w:t>1 January 2026</w:t>
      </w:r>
      <w:r>
        <w:rPr>
          <w:rFonts w:ascii="Aptos" w:hAnsi="Aptos"/>
          <w:i/>
          <w:sz w:val="22"/>
        </w:rPr>
        <w:t xml:space="preserve"> and will move to the ASL fee card at their next anniversary post </w:t>
      </w:r>
      <w:r>
        <w:rPr>
          <w:rFonts w:ascii="Aptos" w:hAnsi="Aptos"/>
          <w:i/>
          <w:sz w:val="22"/>
        </w:rPr>
        <w:t>31 December 2026</w:t>
      </w:r>
      <w:r>
        <w:rPr>
          <w:rFonts w:ascii="Aptos" w:hAnsi="Aptos"/>
          <w:sz w:val="22"/>
        </w:rPr>
        <w:t>*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Alex suggested folding the fee recovery question into the fair value assessment review rather than tracking it as a standalone action; Colin confirmed Andrew is doing the initial FVA analysis and will loop Debbie in earlier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On comms SLAs: Colin confirmed formal client communications have a documented review and sign-off process, and reactive adjustments have been made based on FOS feedback and complaints — but proactive client feedback on comms quality hasn't been sought yet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Alex raised whether SLAs may be too generous — if complaints aren't falling as SLAs start to be met, the committee should question whether the SLAs themselves are tight enough, and whether a </w:t>
      </w:r>
      <w:r>
        <w:rPr>
          <w:rFonts w:ascii="Aptos" w:hAnsi="Aptos"/>
          <w:i/>
          <w:sz w:val="22"/>
        </w:rPr>
        <w:t>48-hour</w:t>
      </w:r>
      <w:r>
        <w:rPr>
          <w:rFonts w:ascii="Aptos" w:hAnsi="Aptos"/>
          <w:sz w:val="22"/>
        </w:rPr>
        <w:t>* first-response standard would change complaint volumes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Colin committed to raising the alarm at the next quarterly meeting if operational performance isn't materially better by then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Questa Wealth governance structure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Geoff's view is that Questa should be treated as a third-party service provider to ASL — like Focus or L25 — not folded into ASL governance packs, given it sits under UAP not ASL; Colin agreed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Questa can adopt Alltrust's compliance framework, but ASL governance work on Questa would be unwarranted additional overhead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If ASL staff are used to do work for Questa, Geoff thinks HR needs to be involved (possible contract modifications), and a service level agreement between ASL and Questa is needed — a papering exercise but necessary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Alex agreed to remove Questa from the ASL ARCC pack going forward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deVere / Mauritius DFM and onshore-offshore model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Alltrust inherited approximately </w:t>
      </w:r>
      <w:r>
        <w:rPr>
          <w:rFonts w:ascii="Aptos" w:hAnsi="Aptos"/>
          <w:i/>
          <w:sz w:val="22"/>
        </w:rPr>
        <w:t>400</w:t>
      </w:r>
      <w:r>
        <w:rPr>
          <w:rFonts w:ascii="Aptos" w:hAnsi="Aptos"/>
          <w:sz w:val="22"/>
        </w:rPr>
        <w:t>* offshore schemes managed by the deVere group via the PSG acquisition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recommended approach is to proceed with deVere Investments Limited (DVIL) via the Mauritius structure as the approved international DFM — structured as a DFM relationship, not an advice relationship, which is the key regulatory distinction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rationale: forcing clients out carries litigation risk (Nigel has indicated this), complex enhanced DD on transfers out, and moral risk around what happens to clients afterwards; the DVIL route puts existing clients in a better position than doing nothing or forcing exits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Guardrails include: low-cost investment solution via Pacific Asset Management models, no structured products, a senior account management contact at deVere to manage conduct issues, and jurisdictional red lines where the model can't operate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New business via the deVere / offshore route is still unresolved — Rob is not fully convinced, James is more open; not decided at this meeting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Titan Global was reviewed separately and recommended against — their license is an adviser license marketing itself as a global license, not a discretionary management license, so Alltrust is declining or about to decline terms of business with them; Geoff declared a very minor shareholding in Titan (inherited via Ravenscroft)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The committee agreed to recommend the board commission a short options paper on formally separating onshore and offshore into distinct operating models — covering perimeter, entity structure, conduct and CASS implications, and resourcing; Alex to circulate a one-pager to the group by </w:t>
      </w:r>
      <w:r>
        <w:rPr>
          <w:rFonts w:ascii="Aptos" w:hAnsi="Aptos"/>
          <w:i/>
          <w:sz w:val="22"/>
        </w:rPr>
        <w:t>Friday, July 3rd</w:t>
      </w:r>
      <w:r>
        <w:rPr>
          <w:rFonts w:ascii="Aptos" w:hAnsi="Aptos"/>
          <w:sz w:val="22"/>
        </w:rPr>
        <w:t>* or early the following week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Victoria noted the offshore book is predominantly PSG-derived — there aren't many UK-located offshore clients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#### Annual accounts audit</w:t>
      </w:r>
    </w:p>
    <w:p>
      <w:pPr>
        <w:spacing w:before="0" w:after="80" w:line="276" w:lineRule="auto"/>
      </w:pPr>
      <w:r>
        <w:rPr>
          <w:rFonts w:ascii="Aptos" w:hAnsi="Aptos"/>
          <w:i/>
          <w:sz w:val="22"/>
        </w:rPr>
        <w:t xml:space="preserve"> The ASL accounts audit is progressing and Geoff expects a clean report with signed accounts ready for the board meeting next week (</w:t>
      </w:r>
      <w:r>
        <w:rPr>
          <w:rFonts w:ascii="Aptos" w:hAnsi="Aptos"/>
          <w:i/>
          <w:sz w:val="22"/>
        </w:rPr>
        <w:t>July 9th</w:t>
      </w:r>
      <w:r>
        <w:rPr>
          <w:rFonts w:ascii="Aptos" w:hAnsi="Aptos"/>
          <w:sz w:val="22"/>
        </w:rPr>
        <w:t>*)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Geoff clarified this is technically an independent review rather than a full statutory audit — ASL isn't currently obliged to have one, but Geoff commissioned it to be treated as a full audit so the groundwork is done before it becomes mandatory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The committee's current involvement in the audit process is limited — Alex noted that without an independent non-exec chairing the ARCC, the committee can't play a traditional audit committee role; Lyndon Trot was raised as a potential independent chair but making him a non-exec of ASL may have UK tax residency implications for him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* Alex suggested management accounts and budget review could be a useful future role for this committee as the business grows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020" w:right="1440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026" w:val="right"/>
      </w:tabs>
      <w:jc w:val="left"/>
    </w:pPr>
    <w:r>
      <w:rPr>
        <w:rFonts w:ascii="Aptos" w:hAnsi="Aptos"/>
        <w:color w:val="999999"/>
        <w:sz w:val="16"/>
      </w:rPr>
      <w:t>DRAFT — For review purposes only</w:t>
    </w:r>
    <w:r>
      <w:rPr>
        <w:rFonts w:ascii="Aptos" w:hAnsi="Aptos"/>
        <w:sz w:val="16"/>
      </w:rPr>
      <w:tab/>
    </w:r>
    <w:r>
      <w:rPr>
        <w:rFonts w:ascii="Aptos" w:hAnsi="Aptos"/>
        <w:color w:val="999999"/>
        <w:sz w:val="16"/>
      </w:rPr>
      <w:t xml:space="preserve">Page </w:t>
    </w:r>
    <w:fldSimple w:instr=" PAGE ">
      <w:r>
        <w:rPr>
          <w:sz w:val="16"/>
        </w:rPr>
        <w:t>1</w:t>
      </w:r>
    </w:fldSimple>
    <w:r>
      <w:rPr>
        <w:rFonts w:ascii="Aptos" w:hAnsi="Aptos"/>
        <w:color w:val="999999"/>
        <w:sz w:val="16"/>
      </w:rPr>
      <w:t xml:space="preserve"> of </w:t>
    </w:r>
    <w:fldSimple w:instr=" NUMPAGES ">
      <w:r>
        <w:rPr>
          <w:sz w:val="16"/>
        </w:rPr>
        <w:t>1</w:t>
      </w:r>
    </w:fldSimple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drawing>
        <wp:inline xmlns:a="http://schemas.openxmlformats.org/drawingml/2006/main" xmlns:pic="http://schemas.openxmlformats.org/drawingml/2006/picture">
          <wp:extent cx="1440000" cy="189065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000" cy="189065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76" w:lineRule="auto"/>
    </w:pPr>
    <w:rPr>
      <w:rFonts w:ascii="Aptos" w:hAnsi="Apto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